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18CDB" w14:textId="6E5E55BB" w:rsidR="00763B65" w:rsidRDefault="00907EE1" w:rsidP="00985B4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Микрофинансовый</w:t>
      </w:r>
      <w:proofErr w:type="spellEnd"/>
      <w:r w:rsidR="005E73D3" w:rsidRPr="00FE223F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DD7C58" w:rsidRPr="00742D54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1" w:name="_Hlk38276599"/>
      <w:r w:rsidR="00DD7C58" w:rsidRPr="00742D54">
        <w:rPr>
          <w:rFonts w:ascii="Times New Roman" w:hAnsi="Times New Roman" w:cs="Times New Roman"/>
          <w:b/>
          <w:sz w:val="32"/>
          <w:szCs w:val="32"/>
        </w:rPr>
        <w:t>«</w:t>
      </w:r>
      <w:r w:rsidR="00096570">
        <w:rPr>
          <w:rFonts w:ascii="Times New Roman" w:hAnsi="Times New Roman" w:cs="Times New Roman"/>
          <w:b/>
          <w:sz w:val="32"/>
          <w:szCs w:val="32"/>
        </w:rPr>
        <w:t>Однопроцентный</w:t>
      </w:r>
      <w:r w:rsidR="00DD7C58" w:rsidRPr="00742D54">
        <w:rPr>
          <w:rFonts w:ascii="Times New Roman" w:hAnsi="Times New Roman" w:cs="Times New Roman"/>
          <w:b/>
          <w:sz w:val="32"/>
          <w:szCs w:val="32"/>
        </w:rPr>
        <w:t>»</w:t>
      </w:r>
      <w:bookmarkEnd w:id="1"/>
    </w:p>
    <w:p w14:paraId="27005308" w14:textId="77777777" w:rsidR="00985B45" w:rsidRDefault="00985B45" w:rsidP="00985B4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93" w:type="dxa"/>
        <w:tblInd w:w="137" w:type="dxa"/>
        <w:tblLook w:val="04A0" w:firstRow="1" w:lastRow="0" w:firstColumn="1" w:lastColumn="0" w:noHBand="0" w:noVBand="1"/>
      </w:tblPr>
      <w:tblGrid>
        <w:gridCol w:w="356"/>
        <w:gridCol w:w="2763"/>
        <w:gridCol w:w="7674"/>
      </w:tblGrid>
      <w:tr w:rsidR="00985B45" w14:paraId="333DB39C" w14:textId="77777777" w:rsidTr="00954403">
        <w:trPr>
          <w:trHeight w:val="4527"/>
        </w:trPr>
        <w:tc>
          <w:tcPr>
            <w:tcW w:w="356" w:type="dxa"/>
            <w:vAlign w:val="center"/>
          </w:tcPr>
          <w:p w14:paraId="4A64BA96" w14:textId="49303622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  <w:vAlign w:val="center"/>
          </w:tcPr>
          <w:p w14:paraId="034A163A" w14:textId="7C1B9D0B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сегмент</w:t>
            </w:r>
          </w:p>
        </w:tc>
        <w:tc>
          <w:tcPr>
            <w:tcW w:w="7674" w:type="dxa"/>
            <w:vAlign w:val="center"/>
          </w:tcPr>
          <w:p w14:paraId="06E75C11" w14:textId="7C0E9C53" w:rsidR="0009703A" w:rsidRDefault="00985B45" w:rsidP="0009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79E2">
              <w:rPr>
                <w:rFonts w:ascii="Times New Roman" w:hAnsi="Times New Roman" w:cs="Times New Roman"/>
                <w:sz w:val="28"/>
                <w:szCs w:val="28"/>
              </w:rPr>
              <w:t xml:space="preserve">убъект </w:t>
            </w:r>
            <w:r w:rsidR="00E16731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субъект МСП) </w:t>
            </w:r>
            <w:r w:rsidR="0009703A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</w:t>
            </w:r>
            <w:proofErr w:type="gramStart"/>
            <w:r w:rsidR="0009703A">
              <w:rPr>
                <w:rFonts w:ascii="Times New Roman" w:hAnsi="Times New Roman" w:cs="Times New Roman"/>
                <w:sz w:val="28"/>
                <w:szCs w:val="28"/>
              </w:rPr>
              <w:t>соблюдении</w:t>
            </w:r>
            <w:proofErr w:type="gramEnd"/>
            <w:r w:rsidR="0009703A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условий:</w:t>
            </w:r>
          </w:p>
          <w:p w14:paraId="2206A441" w14:textId="075D12F7" w:rsidR="00E16731" w:rsidRPr="00E16731" w:rsidRDefault="00E16731" w:rsidP="000D1208">
            <w:pPr>
              <w:pStyle w:val="a4"/>
              <w:numPr>
                <w:ilvl w:val="0"/>
                <w:numId w:val="3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6731">
              <w:rPr>
                <w:rFonts w:ascii="Times New Roman" w:hAnsi="Times New Roman" w:cs="Times New Roman"/>
                <w:sz w:val="28"/>
                <w:szCs w:val="28"/>
              </w:rPr>
              <w:t>оответству</w:t>
            </w:r>
            <w:r w:rsidR="0009703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E1673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24.07.2007 N 209-ФЗ «</w:t>
            </w:r>
            <w:r w:rsidRPr="00E16731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>тельства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FE1464" w14:textId="15CE4745" w:rsidR="0009703A" w:rsidRDefault="00985B45" w:rsidP="000D1208">
            <w:pPr>
              <w:pStyle w:val="a4"/>
              <w:numPr>
                <w:ilvl w:val="0"/>
                <w:numId w:val="3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3A">
              <w:rPr>
                <w:rFonts w:ascii="Times New Roman" w:hAnsi="Times New Roman" w:cs="Times New Roman"/>
                <w:sz w:val="28"/>
                <w:szCs w:val="28"/>
              </w:rPr>
              <w:t xml:space="preserve">не включен в перечень наиболее пострадавших отраслей экономики, определенных </w:t>
            </w:r>
            <w:r w:rsidR="0009703A" w:rsidRPr="00097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703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Правительства Российской </w:t>
            </w:r>
            <w:r w:rsidR="00954403" w:rsidRPr="0009703A">
              <w:rPr>
                <w:rFonts w:ascii="Times New Roman" w:hAnsi="Times New Roman" w:cs="Times New Roman"/>
                <w:sz w:val="28"/>
                <w:szCs w:val="28"/>
              </w:rPr>
              <w:t>Федерации от</w:t>
            </w:r>
            <w:r w:rsidR="00E16731" w:rsidRPr="0009703A">
              <w:rPr>
                <w:rFonts w:ascii="Times New Roman" w:hAnsi="Times New Roman" w:cs="Times New Roman"/>
                <w:sz w:val="28"/>
                <w:szCs w:val="28"/>
              </w:rPr>
              <w:t xml:space="preserve"> 03.04.2020 N 434</w:t>
            </w:r>
            <w:r w:rsidR="00F76CBB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09703A" w:rsidRPr="000970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F1F480" w14:textId="02FFADF1" w:rsidR="00985B45" w:rsidRPr="0009703A" w:rsidRDefault="0009703A" w:rsidP="000D1208">
            <w:pPr>
              <w:pStyle w:val="a4"/>
              <w:numPr>
                <w:ilvl w:val="0"/>
                <w:numId w:val="3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которых </w:t>
            </w:r>
            <w:r w:rsidRPr="0009703A">
              <w:rPr>
                <w:rFonts w:ascii="Times New Roman" w:hAnsi="Times New Roman" w:cs="Times New Roman"/>
                <w:sz w:val="28"/>
                <w:szCs w:val="28"/>
              </w:rPr>
              <w:t>снижен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7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  <w:r w:rsidRPr="0009703A">
              <w:rPr>
                <w:rFonts w:ascii="Times New Roman" w:hAnsi="Times New Roman" w:cs="Times New Roman"/>
                <w:sz w:val="28"/>
                <w:szCs w:val="28"/>
              </w:rPr>
              <w:t xml:space="preserve"> за месяц, предшествующий месяцу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подачи заявки на получение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  <w:proofErr w:type="spellEnd"/>
            <w:r w:rsidRPr="0009703A">
              <w:rPr>
                <w:rFonts w:ascii="Times New Roman" w:hAnsi="Times New Roman" w:cs="Times New Roman"/>
                <w:sz w:val="28"/>
                <w:szCs w:val="28"/>
              </w:rPr>
              <w:t xml:space="preserve"> более чем на 30 процентов по сравнению со среднемесячн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97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выручкой</w:t>
            </w:r>
            <w:r w:rsidRPr="00097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субъекта МСП</w:t>
            </w:r>
            <w:r w:rsidRPr="0009703A">
              <w:rPr>
                <w:rFonts w:ascii="Times New Roman" w:hAnsi="Times New Roman" w:cs="Times New Roman"/>
                <w:sz w:val="28"/>
                <w:szCs w:val="28"/>
              </w:rPr>
              <w:t xml:space="preserve"> за 2019 год</w:t>
            </w:r>
            <w:r w:rsidR="00F10511">
              <w:rPr>
                <w:rFonts w:ascii="Times New Roman" w:hAnsi="Times New Roman" w:cs="Times New Roman"/>
                <w:sz w:val="28"/>
                <w:szCs w:val="28"/>
              </w:rPr>
              <w:t>, либо за срок осуществления деятельности субъектом МСП в 2019 году (с момента государственной регистрации юридического лица либо индивидуального предпринимателя до 31 декабря 2019 года).</w:t>
            </w:r>
            <w:proofErr w:type="gramEnd"/>
          </w:p>
        </w:tc>
      </w:tr>
      <w:tr w:rsidR="00985B45" w14:paraId="64A4F4F7" w14:textId="77777777" w:rsidTr="00954403">
        <w:trPr>
          <w:trHeight w:val="1639"/>
        </w:trPr>
        <w:tc>
          <w:tcPr>
            <w:tcW w:w="356" w:type="dxa"/>
            <w:vAlign w:val="center"/>
          </w:tcPr>
          <w:p w14:paraId="4419822B" w14:textId="2C94E2B1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  <w:vAlign w:val="center"/>
          </w:tcPr>
          <w:p w14:paraId="61202ABB" w14:textId="52478C95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954403">
              <w:rPr>
                <w:rFonts w:ascii="Times New Roman" w:hAnsi="Times New Roman" w:cs="Times New Roman"/>
                <w:sz w:val="28"/>
                <w:szCs w:val="28"/>
              </w:rPr>
              <w:t>евое использование</w:t>
            </w:r>
          </w:p>
        </w:tc>
        <w:tc>
          <w:tcPr>
            <w:tcW w:w="7674" w:type="dxa"/>
            <w:vAlign w:val="center"/>
          </w:tcPr>
          <w:p w14:paraId="2A143794" w14:textId="3628E474" w:rsidR="00985B45" w:rsidRDefault="00985B45" w:rsidP="00097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E73D3">
              <w:rPr>
                <w:rFonts w:ascii="Times New Roman" w:hAnsi="Times New Roman" w:cs="Times New Roman"/>
                <w:sz w:val="28"/>
                <w:szCs w:val="28"/>
              </w:rPr>
              <w:t>юбые обоснованные заемщиками затраты</w:t>
            </w:r>
            <w:r w:rsidR="000970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09703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="0009703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54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403" w:rsidRPr="00044EDF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95440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954403" w:rsidRPr="00044ED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proofErr w:type="spellStart"/>
            <w:r w:rsidR="00954403" w:rsidRPr="00044EDF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="00954403" w:rsidRPr="00044EDF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Некоммерческой </w:t>
            </w:r>
            <w:proofErr w:type="spellStart"/>
            <w:r w:rsidR="00954403" w:rsidRPr="00044EDF">
              <w:rPr>
                <w:rFonts w:ascii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 w:rsidR="00954403" w:rsidRPr="00044EDF">
              <w:rPr>
                <w:rFonts w:ascii="Times New Roman" w:hAnsi="Times New Roman" w:cs="Times New Roman"/>
                <w:sz w:val="28"/>
                <w:szCs w:val="28"/>
              </w:rPr>
              <w:t xml:space="preserve"> компанией «Фонд поддержки предпринимательства Республики Татарстан»</w:t>
            </w:r>
            <w:r w:rsidR="0095440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Правила).</w:t>
            </w:r>
          </w:p>
        </w:tc>
      </w:tr>
      <w:tr w:rsidR="00985B45" w14:paraId="48EF5BB9" w14:textId="77777777" w:rsidTr="00954403">
        <w:trPr>
          <w:trHeight w:val="314"/>
        </w:trPr>
        <w:tc>
          <w:tcPr>
            <w:tcW w:w="356" w:type="dxa"/>
            <w:vAlign w:val="center"/>
          </w:tcPr>
          <w:p w14:paraId="19B10CA1" w14:textId="593A55F1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  <w:vAlign w:val="center"/>
          </w:tcPr>
          <w:p w14:paraId="27569D85" w14:textId="21A3884F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  <w:proofErr w:type="spellEnd"/>
          </w:p>
        </w:tc>
        <w:tc>
          <w:tcPr>
            <w:tcW w:w="7674" w:type="dxa"/>
            <w:vAlign w:val="center"/>
          </w:tcPr>
          <w:p w14:paraId="40E5BF79" w14:textId="6D868659" w:rsidR="00985B45" w:rsidRPr="00AF4D36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0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00 000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000 000 рублей.</w:t>
            </w:r>
          </w:p>
        </w:tc>
      </w:tr>
      <w:tr w:rsidR="00985B45" w14:paraId="6FD49D45" w14:textId="77777777" w:rsidTr="00954403">
        <w:trPr>
          <w:trHeight w:val="314"/>
        </w:trPr>
        <w:tc>
          <w:tcPr>
            <w:tcW w:w="356" w:type="dxa"/>
            <w:vAlign w:val="center"/>
          </w:tcPr>
          <w:p w14:paraId="4438EE9C" w14:textId="4ACCC99F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  <w:vAlign w:val="center"/>
          </w:tcPr>
          <w:p w14:paraId="219EAF16" w14:textId="383E2C5E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кредитования</w:t>
            </w:r>
          </w:p>
        </w:tc>
        <w:tc>
          <w:tcPr>
            <w:tcW w:w="7674" w:type="dxa"/>
            <w:vAlign w:val="center"/>
          </w:tcPr>
          <w:p w14:paraId="5FAFA187" w14:textId="5D4E8660" w:rsidR="00985B45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месяцев</w:t>
            </w:r>
            <w:r w:rsidR="00D71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5B45" w14:paraId="61E80393" w14:textId="77777777" w:rsidTr="00954403">
        <w:trPr>
          <w:trHeight w:val="314"/>
        </w:trPr>
        <w:tc>
          <w:tcPr>
            <w:tcW w:w="356" w:type="dxa"/>
            <w:vAlign w:val="center"/>
          </w:tcPr>
          <w:p w14:paraId="032319B2" w14:textId="4B4DCFE0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14:paraId="4AA2491E" w14:textId="5726B60E" w:rsidR="00985B45" w:rsidRPr="003158C3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приема заявок</w:t>
            </w:r>
          </w:p>
        </w:tc>
        <w:tc>
          <w:tcPr>
            <w:tcW w:w="7674" w:type="dxa"/>
            <w:vAlign w:val="center"/>
          </w:tcPr>
          <w:p w14:paraId="4EDBD0D9" w14:textId="48A9FD49" w:rsidR="00985B45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6955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 по 30.09.2020 года</w:t>
            </w:r>
            <w:r w:rsidR="00D71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5B45" w14:paraId="521AAD88" w14:textId="77777777" w:rsidTr="00EB7470">
        <w:trPr>
          <w:trHeight w:val="687"/>
        </w:trPr>
        <w:tc>
          <w:tcPr>
            <w:tcW w:w="356" w:type="dxa"/>
            <w:vAlign w:val="center"/>
          </w:tcPr>
          <w:p w14:paraId="57DD352A" w14:textId="62E96833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3" w:type="dxa"/>
            <w:vAlign w:val="center"/>
          </w:tcPr>
          <w:p w14:paraId="1CDE0A14" w14:textId="749D76A3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Процентная ставка</w:t>
            </w:r>
          </w:p>
        </w:tc>
        <w:tc>
          <w:tcPr>
            <w:tcW w:w="7674" w:type="dxa"/>
            <w:vAlign w:val="center"/>
          </w:tcPr>
          <w:p w14:paraId="357F7C77" w14:textId="108A4C02" w:rsidR="00440D79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38290190"/>
            <w:r w:rsidRPr="009B5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1% годовых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D79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  <w:r w:rsidR="0063701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ограничительных мер</w:t>
            </w:r>
            <w:r w:rsidR="0044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01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предотвращение распространения в Республике Татарстан новой коронавирусной инфекции, </w:t>
            </w:r>
            <w:r w:rsidR="002F6EB2" w:rsidRPr="002F6EB2">
              <w:rPr>
                <w:rFonts w:ascii="Times New Roman" w:hAnsi="Times New Roman" w:cs="Times New Roman"/>
                <w:sz w:val="28"/>
                <w:szCs w:val="28"/>
              </w:rPr>
              <w:t>предусмотренны</w:t>
            </w:r>
            <w:r w:rsidR="002F6E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F6EB2" w:rsidRPr="002F6EB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Кабинета Министров Республики Татарстан от 19 марта 2020 года № 208 (далее – ограничительные меры)</w:t>
            </w:r>
            <w:r w:rsidR="002F6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701C">
              <w:rPr>
                <w:rFonts w:ascii="Times New Roman" w:hAnsi="Times New Roman" w:cs="Times New Roman"/>
                <w:sz w:val="28"/>
                <w:szCs w:val="28"/>
              </w:rPr>
              <w:t xml:space="preserve">но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ме</w:t>
            </w:r>
            <w:r w:rsidR="00954403">
              <w:rPr>
                <w:rFonts w:ascii="Times New Roman" w:hAnsi="Times New Roman" w:cs="Times New Roman"/>
                <w:sz w:val="28"/>
                <w:szCs w:val="28"/>
              </w:rPr>
              <w:t>сяцев</w:t>
            </w:r>
            <w:r w:rsidRPr="0070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дня заключения договора</w:t>
            </w:r>
            <w:r w:rsidR="00721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929E27" w14:textId="1493F58B" w:rsidR="007211E6" w:rsidRPr="002F6EB2" w:rsidRDefault="007211E6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1/2 от ключевой ставки ЦБ РФ</w:t>
            </w:r>
            <w:r w:rsidRPr="009B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5D5C">
              <w:rPr>
                <w:rFonts w:ascii="Times New Roman" w:hAnsi="Times New Roman" w:cs="Times New Roman"/>
                <w:sz w:val="28"/>
                <w:szCs w:val="28"/>
              </w:rPr>
              <w:t>на день заключения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с первого дня месяца следующего за месяцем ис</w:t>
            </w:r>
            <w:r w:rsidRPr="009B5D5C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5D5C">
              <w:rPr>
                <w:rFonts w:ascii="Times New Roman" w:hAnsi="Times New Roman" w:cs="Times New Roman"/>
                <w:sz w:val="28"/>
                <w:szCs w:val="28"/>
              </w:rPr>
              <w:t xml:space="preserve"> шестимесячного срока,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 отмены</w:t>
            </w:r>
            <w:r w:rsidRPr="009B5D5C">
              <w:rPr>
                <w:rFonts w:ascii="Times New Roman" w:hAnsi="Times New Roman" w:cs="Times New Roman"/>
                <w:sz w:val="28"/>
                <w:szCs w:val="28"/>
              </w:rPr>
              <w:t xml:space="preserve"> ограничительных мер,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случае сохранения заемщиком</w:t>
            </w:r>
            <w:r w:rsidRPr="009B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B5D5C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5D5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на уровне не менее 90 процентов по отношению к марту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35556B" w14:textId="03B9757B" w:rsidR="000D1208" w:rsidRPr="009B5D5C" w:rsidRDefault="00440D79" w:rsidP="00721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Ключевая ставка </w:t>
            </w:r>
            <w:r w:rsidR="00985B45" w:rsidRPr="009B5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5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ЦБ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1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день заключения договора</w:t>
            </w:r>
            <w:r w:rsidR="007211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"/>
            <w:r w:rsidR="007211E6">
              <w:rPr>
                <w:rFonts w:ascii="Times New Roman" w:hAnsi="Times New Roman" w:cs="Times New Roman"/>
                <w:sz w:val="28"/>
                <w:szCs w:val="28"/>
              </w:rPr>
              <w:t>с 1 числа месяца, следующего за месяцем ис</w:t>
            </w:r>
            <w:r w:rsidR="007211E6" w:rsidRPr="009B5D5C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 w:rsidR="007211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211E6" w:rsidRPr="009B5D5C">
              <w:rPr>
                <w:rFonts w:ascii="Times New Roman" w:hAnsi="Times New Roman" w:cs="Times New Roman"/>
                <w:sz w:val="28"/>
                <w:szCs w:val="28"/>
              </w:rPr>
              <w:t xml:space="preserve"> шестимесячного срока, либо </w:t>
            </w:r>
            <w:r w:rsidR="007211E6">
              <w:rPr>
                <w:rFonts w:ascii="Times New Roman" w:hAnsi="Times New Roman" w:cs="Times New Roman"/>
                <w:sz w:val="28"/>
                <w:szCs w:val="28"/>
              </w:rPr>
              <w:t xml:space="preserve">месяца отмены </w:t>
            </w:r>
            <w:r w:rsidR="007211E6" w:rsidRPr="009B5D5C">
              <w:rPr>
                <w:rFonts w:ascii="Times New Roman" w:hAnsi="Times New Roman" w:cs="Times New Roman"/>
                <w:sz w:val="28"/>
                <w:szCs w:val="28"/>
              </w:rPr>
              <w:t xml:space="preserve">ограничительных мер, </w:t>
            </w:r>
            <w:r w:rsidR="007211E6">
              <w:rPr>
                <w:rFonts w:ascii="Times New Roman" w:hAnsi="Times New Roman" w:cs="Times New Roman"/>
                <w:sz w:val="28"/>
                <w:szCs w:val="28"/>
              </w:rPr>
              <w:t>в иных случаях.</w:t>
            </w:r>
          </w:p>
        </w:tc>
      </w:tr>
      <w:tr w:rsidR="00985B45" w14:paraId="1B8CA826" w14:textId="77777777" w:rsidTr="00954403">
        <w:trPr>
          <w:trHeight w:val="930"/>
        </w:trPr>
        <w:tc>
          <w:tcPr>
            <w:tcW w:w="356" w:type="dxa"/>
            <w:vAlign w:val="center"/>
          </w:tcPr>
          <w:p w14:paraId="22DC4187" w14:textId="13FCF6C5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63" w:type="dxa"/>
            <w:vAlign w:val="center"/>
          </w:tcPr>
          <w:p w14:paraId="64801511" w14:textId="5C4D770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7674" w:type="dxa"/>
          </w:tcPr>
          <w:p w14:paraId="1EADD0BF" w14:textId="36FF33C7" w:rsidR="000B28FE" w:rsidRDefault="001170EB" w:rsidP="000B28FE">
            <w:pPr>
              <w:pStyle w:val="a4"/>
              <w:numPr>
                <w:ilvl w:val="0"/>
                <w:numId w:val="35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4B2D"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т 100 000 до </w:t>
            </w:r>
            <w:r w:rsidR="00CD4EA6" w:rsidRPr="001170EB">
              <w:rPr>
                <w:rFonts w:ascii="Times New Roman" w:hAnsi="Times New Roman" w:cs="Times New Roman"/>
                <w:sz w:val="28"/>
                <w:szCs w:val="28"/>
              </w:rPr>
              <w:t>300 000 руб.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A6ADDCC" w14:textId="70E569A0" w:rsidR="00CD4EA6" w:rsidRPr="000B28FE" w:rsidRDefault="00CD4EA6" w:rsidP="000B28FE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8FE">
              <w:rPr>
                <w:rFonts w:ascii="Times New Roman" w:hAnsi="Times New Roman" w:cs="Times New Roman"/>
                <w:sz w:val="28"/>
                <w:szCs w:val="28"/>
              </w:rPr>
              <w:t xml:space="preserve"> – поручительство физического или юридического лица</w:t>
            </w:r>
            <w:r w:rsidR="00513CC7" w:rsidRPr="000B28FE">
              <w:rPr>
                <w:rFonts w:ascii="Times New Roman" w:hAnsi="Times New Roman" w:cs="Times New Roman"/>
                <w:sz w:val="28"/>
                <w:szCs w:val="28"/>
              </w:rPr>
              <w:t xml:space="preserve"> (договор поручительства и договор </w:t>
            </w:r>
            <w:proofErr w:type="spellStart"/>
            <w:r w:rsidR="000B28FE" w:rsidRPr="000B28FE"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  <w:r w:rsidR="00513CC7" w:rsidRPr="000B28FE">
              <w:rPr>
                <w:rFonts w:ascii="Times New Roman" w:hAnsi="Times New Roman" w:cs="Times New Roman"/>
                <w:sz w:val="28"/>
                <w:szCs w:val="28"/>
              </w:rPr>
              <w:t>займа</w:t>
            </w:r>
            <w:proofErr w:type="spellEnd"/>
            <w:r w:rsidR="00513CC7" w:rsidRPr="000B28FE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простой письменной форме (не </w:t>
            </w:r>
            <w:proofErr w:type="gramStart"/>
            <w:r w:rsidR="00513CC7" w:rsidRPr="000B28FE">
              <w:rPr>
                <w:rFonts w:ascii="Times New Roman" w:hAnsi="Times New Roman" w:cs="Times New Roman"/>
                <w:sz w:val="28"/>
                <w:szCs w:val="28"/>
              </w:rPr>
              <w:t>нотариальная</w:t>
            </w:r>
            <w:proofErr w:type="gramEnd"/>
            <w:r w:rsidR="00513CC7" w:rsidRPr="000B28FE">
              <w:rPr>
                <w:rFonts w:ascii="Times New Roman" w:hAnsi="Times New Roman" w:cs="Times New Roman"/>
                <w:sz w:val="28"/>
                <w:szCs w:val="28"/>
              </w:rPr>
              <w:t>)) по месту нахождения Фонда</w:t>
            </w:r>
            <w:r w:rsidR="00712E05" w:rsidRPr="00712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B2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570FAA" w14:textId="32C84AC8" w:rsidR="00C977D8" w:rsidRPr="001170EB" w:rsidRDefault="00CD4EA6" w:rsidP="000B28FE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от 300 001 до 1 000 000 руб.</w:t>
            </w:r>
            <w:r w:rsidR="00C977D8" w:rsidRPr="001170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8D0189" w14:textId="77777777" w:rsidR="001170EB" w:rsidRDefault="00CD4EA6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поручительство физического или юридического лица 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залог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стоимостью (с учетом</w:t>
            </w:r>
            <w:proofErr w:type="gramStart"/>
            <w:r w:rsidR="00C977D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C977D8">
              <w:rPr>
                <w:rFonts w:ascii="Times New Roman" w:hAnsi="Times New Roman" w:cs="Times New Roman"/>
                <w:sz w:val="28"/>
                <w:szCs w:val="28"/>
              </w:rPr>
              <w:t xml:space="preserve"> 0,7) не менее 50% </w:t>
            </w:r>
            <w:r w:rsidR="001170EB">
              <w:rPr>
                <w:rFonts w:ascii="Times New Roman" w:hAnsi="Times New Roman" w:cs="Times New Roman"/>
                <w:sz w:val="28"/>
                <w:szCs w:val="28"/>
              </w:rPr>
              <w:t>от суммы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77D8"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  <w:proofErr w:type="spellEnd"/>
            <w:r w:rsidR="001170EB">
              <w:rPr>
                <w:rFonts w:ascii="Times New Roman" w:hAnsi="Times New Roman" w:cs="Times New Roman"/>
                <w:sz w:val="28"/>
                <w:szCs w:val="28"/>
              </w:rPr>
              <w:t xml:space="preserve"> (если предмет залога находится в собственности одного лица, то договор залога заключается в простой письменной форме. Если залог является долевой собственностью, то договор заверяется нотариусом. При этом</w:t>
            </w:r>
            <w:proofErr w:type="gramStart"/>
            <w:r w:rsidR="00117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170EB">
              <w:rPr>
                <w:rFonts w:ascii="Times New Roman" w:hAnsi="Times New Roman" w:cs="Times New Roman"/>
                <w:sz w:val="28"/>
                <w:szCs w:val="28"/>
              </w:rPr>
              <w:t xml:space="preserve"> договоры залога недвижимого имущества (заключенные в простой письменной форме, заверенные нотариусом) подлежат государственной регистрации (через МФЦ для бизнеса г. Казань, ул. Петербургская, д. 28). </w:t>
            </w:r>
            <w:proofErr w:type="gramStart"/>
            <w:r w:rsidR="001170EB">
              <w:rPr>
                <w:rFonts w:ascii="Times New Roman" w:hAnsi="Times New Roman" w:cs="Times New Roman"/>
                <w:sz w:val="28"/>
                <w:szCs w:val="28"/>
              </w:rPr>
              <w:t>Если залогом выступает движимое имущество – проставляется запись о возникновении залога в реестре Федеральной нотариальной палаты);</w:t>
            </w:r>
            <w:proofErr w:type="gramEnd"/>
          </w:p>
          <w:p w14:paraId="70881616" w14:textId="2563F603" w:rsidR="001170EB" w:rsidRDefault="001170EB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поручительство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или 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поручительство Гарантийного Фонда РТ</w:t>
            </w:r>
            <w:r w:rsidR="0051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50 процентов от суммы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E18817" w14:textId="77777777" w:rsidR="001170EB" w:rsidRDefault="00CD4EA6" w:rsidP="000B28FE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от 1 000 001 до 2 000 000 руб.</w:t>
            </w:r>
            <w:r w:rsidR="001170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2AB1018" w14:textId="688849A6" w:rsidR="000B28FE" w:rsidRDefault="001170EB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D4EA6"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поручительство физического или 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залог имущества 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учетом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0,7) не менее 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суммы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  <w:proofErr w:type="spellEnd"/>
            <w:r w:rsidR="000B2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ABDCF4" w14:textId="77777777" w:rsidR="00985B45" w:rsidRDefault="000B28FE" w:rsidP="00B65CE8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поручительство физического или юридического лица + поручительство Гарантийного Фонда РТ до 50 процентов от суммы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залог имущества (с учетом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0,7) не менее 50 % от суммы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CE2C77" w14:textId="160D1039" w:rsidR="000B28FE" w:rsidRPr="001170EB" w:rsidRDefault="000B28FE" w:rsidP="00B65CE8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45" w14:paraId="4FC526BF" w14:textId="77777777" w:rsidTr="00954403">
        <w:trPr>
          <w:trHeight w:val="943"/>
        </w:trPr>
        <w:tc>
          <w:tcPr>
            <w:tcW w:w="356" w:type="dxa"/>
            <w:vAlign w:val="center"/>
          </w:tcPr>
          <w:p w14:paraId="576D8FEA" w14:textId="17CB1FB0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3" w:type="dxa"/>
            <w:vAlign w:val="center"/>
          </w:tcPr>
          <w:p w14:paraId="7E1B8840" w14:textId="76CAA6CA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погашения</w:t>
            </w:r>
          </w:p>
        </w:tc>
        <w:tc>
          <w:tcPr>
            <w:tcW w:w="7674" w:type="dxa"/>
            <w:vAlign w:val="center"/>
          </w:tcPr>
          <w:p w14:paraId="01470646" w14:textId="77777777" w:rsidR="00985B45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 – ежемесячно.</w:t>
            </w:r>
          </w:p>
          <w:p w14:paraId="1CC86B32" w14:textId="5193DC39" w:rsidR="00985B45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долг – еже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>месячно (возможно 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отсрочки по уплате основного долга на </w:t>
            </w:r>
            <w:r w:rsidR="00D71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месяцев).</w:t>
            </w:r>
          </w:p>
        </w:tc>
      </w:tr>
    </w:tbl>
    <w:p w14:paraId="5E5F21E1" w14:textId="77777777" w:rsidR="00985B45" w:rsidRDefault="00985B45" w:rsidP="002836C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0582DF" w14:textId="77777777" w:rsidR="00985B45" w:rsidRDefault="00985B45" w:rsidP="002836C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4D3AC7" w14:textId="77777777" w:rsidR="00985B45" w:rsidRDefault="00985B45" w:rsidP="002836C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10C980" w14:textId="6A2F87C1" w:rsidR="00A7032C" w:rsidRPr="00133F04" w:rsidRDefault="00133F04" w:rsidP="00A33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32C" w:rsidRPr="00133F04">
        <w:rPr>
          <w:rFonts w:ascii="Times New Roman" w:hAnsi="Times New Roman" w:cs="Times New Roman"/>
          <w:sz w:val="24"/>
          <w:szCs w:val="24"/>
        </w:rPr>
        <w:br/>
      </w:r>
    </w:p>
    <w:sectPr w:rsidR="00A7032C" w:rsidRPr="00133F04" w:rsidSect="00742D54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AC5B5" w14:textId="77777777" w:rsidR="00536951" w:rsidRDefault="00536951" w:rsidP="00F76CBB">
      <w:pPr>
        <w:spacing w:after="0" w:line="240" w:lineRule="auto"/>
      </w:pPr>
      <w:r>
        <w:separator/>
      </w:r>
    </w:p>
  </w:endnote>
  <w:endnote w:type="continuationSeparator" w:id="0">
    <w:p w14:paraId="5FA61512" w14:textId="77777777" w:rsidR="00536951" w:rsidRDefault="00536951" w:rsidP="00F7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0C5F9" w14:textId="77777777" w:rsidR="00536951" w:rsidRDefault="00536951" w:rsidP="00F76CBB">
      <w:pPr>
        <w:spacing w:after="0" w:line="240" w:lineRule="auto"/>
      </w:pPr>
      <w:r>
        <w:separator/>
      </w:r>
    </w:p>
  </w:footnote>
  <w:footnote w:type="continuationSeparator" w:id="0">
    <w:p w14:paraId="71E3CC1C" w14:textId="77777777" w:rsidR="00536951" w:rsidRDefault="00536951" w:rsidP="00F76CBB">
      <w:pPr>
        <w:spacing w:after="0" w:line="240" w:lineRule="auto"/>
      </w:pPr>
      <w:r>
        <w:continuationSeparator/>
      </w:r>
    </w:p>
  </w:footnote>
  <w:footnote w:id="1">
    <w:p w14:paraId="0D6840FD" w14:textId="618A017D" w:rsidR="00616880" w:rsidRPr="00616880" w:rsidRDefault="00F76CBB" w:rsidP="00616880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616880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6168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6880">
        <w:rPr>
          <w:rFonts w:ascii="Times New Roman" w:hAnsi="Times New Roman" w:cs="Times New Roman"/>
          <w:sz w:val="20"/>
          <w:szCs w:val="20"/>
        </w:rPr>
        <w:t>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</w:t>
      </w:r>
      <w:r w:rsidR="00616880" w:rsidRPr="00616880">
        <w:rPr>
          <w:rFonts w:ascii="Times New Roman" w:hAnsi="Times New Roman" w:cs="Times New Roman"/>
          <w:sz w:val="20"/>
          <w:szCs w:val="20"/>
        </w:rPr>
        <w:t>. (по аналогии с Постановлением Правительства РФ от 02.04.2020 N 409 "О мерах по обеспечению устойчивого развития экономики").</w:t>
      </w:r>
      <w:proofErr w:type="gramEnd"/>
    </w:p>
    <w:p w14:paraId="3A369A46" w14:textId="7391E0D4" w:rsidR="00F76CBB" w:rsidRDefault="00F76CBB" w:rsidP="00F7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CC4FBEE" w14:textId="5BC93AE2" w:rsidR="00F76CBB" w:rsidRDefault="00F76CBB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DAD"/>
    <w:multiLevelType w:val="hybridMultilevel"/>
    <w:tmpl w:val="37B69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1F7"/>
    <w:multiLevelType w:val="hybridMultilevel"/>
    <w:tmpl w:val="60EC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669"/>
    <w:multiLevelType w:val="hybridMultilevel"/>
    <w:tmpl w:val="536A7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0A48"/>
    <w:multiLevelType w:val="hybridMultilevel"/>
    <w:tmpl w:val="4340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44E28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2452A"/>
    <w:multiLevelType w:val="hybridMultilevel"/>
    <w:tmpl w:val="5524B6A8"/>
    <w:lvl w:ilvl="0" w:tplc="D2BE7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1514E"/>
    <w:multiLevelType w:val="hybridMultilevel"/>
    <w:tmpl w:val="C6D0AC72"/>
    <w:lvl w:ilvl="0" w:tplc="ABFA2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20A51"/>
    <w:multiLevelType w:val="hybridMultilevel"/>
    <w:tmpl w:val="EEC82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1A92"/>
    <w:multiLevelType w:val="hybridMultilevel"/>
    <w:tmpl w:val="B426B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45D3"/>
    <w:multiLevelType w:val="hybridMultilevel"/>
    <w:tmpl w:val="104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13F57"/>
    <w:multiLevelType w:val="hybridMultilevel"/>
    <w:tmpl w:val="6A58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503F6"/>
    <w:multiLevelType w:val="hybridMultilevel"/>
    <w:tmpl w:val="5DC60948"/>
    <w:lvl w:ilvl="0" w:tplc="49383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C2514"/>
    <w:multiLevelType w:val="hybridMultilevel"/>
    <w:tmpl w:val="70841C48"/>
    <w:lvl w:ilvl="0" w:tplc="73C27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E419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A410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A255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6007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E253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3278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7EF8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988A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B71F5"/>
    <w:multiLevelType w:val="hybridMultilevel"/>
    <w:tmpl w:val="63EA5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F5520"/>
    <w:multiLevelType w:val="hybridMultilevel"/>
    <w:tmpl w:val="104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01A01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85BA6"/>
    <w:multiLevelType w:val="hybridMultilevel"/>
    <w:tmpl w:val="3A9AB11C"/>
    <w:lvl w:ilvl="0" w:tplc="D3F633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8671FDE"/>
    <w:multiLevelType w:val="hybridMultilevel"/>
    <w:tmpl w:val="90A8E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00378"/>
    <w:multiLevelType w:val="hybridMultilevel"/>
    <w:tmpl w:val="6FE88C82"/>
    <w:lvl w:ilvl="0" w:tplc="1810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7246D"/>
    <w:multiLevelType w:val="hybridMultilevel"/>
    <w:tmpl w:val="3A2E5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A63BF"/>
    <w:multiLevelType w:val="hybridMultilevel"/>
    <w:tmpl w:val="D310A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329D1"/>
    <w:multiLevelType w:val="hybridMultilevel"/>
    <w:tmpl w:val="D108D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37A68"/>
    <w:multiLevelType w:val="hybridMultilevel"/>
    <w:tmpl w:val="B36A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12430"/>
    <w:multiLevelType w:val="hybridMultilevel"/>
    <w:tmpl w:val="53D6C9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C5E93"/>
    <w:multiLevelType w:val="hybridMultilevel"/>
    <w:tmpl w:val="CCFEC412"/>
    <w:lvl w:ilvl="0" w:tplc="ECD079A2">
      <w:start w:val="1"/>
      <w:numFmt w:val="bullet"/>
      <w:lvlText w:val=""/>
      <w:lvlJc w:val="left"/>
      <w:pPr>
        <w:ind w:left="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cs="Wingdings" w:hint="default"/>
      </w:rPr>
    </w:lvl>
  </w:abstractNum>
  <w:abstractNum w:abstractNumId="25">
    <w:nsid w:val="491D0EA0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FB63CC"/>
    <w:multiLevelType w:val="hybridMultilevel"/>
    <w:tmpl w:val="BE86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3524D"/>
    <w:multiLevelType w:val="hybridMultilevel"/>
    <w:tmpl w:val="386CED7E"/>
    <w:lvl w:ilvl="0" w:tplc="49383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691"/>
    <w:multiLevelType w:val="hybridMultilevel"/>
    <w:tmpl w:val="730AB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073B6"/>
    <w:multiLevelType w:val="hybridMultilevel"/>
    <w:tmpl w:val="9CD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67202"/>
    <w:multiLevelType w:val="hybridMultilevel"/>
    <w:tmpl w:val="C8B8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808E1"/>
    <w:multiLevelType w:val="multilevel"/>
    <w:tmpl w:val="A4A005B6"/>
    <w:lvl w:ilvl="0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abstractNum w:abstractNumId="32">
    <w:nsid w:val="7385072B"/>
    <w:multiLevelType w:val="hybridMultilevel"/>
    <w:tmpl w:val="542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21CB5"/>
    <w:multiLevelType w:val="hybridMultilevel"/>
    <w:tmpl w:val="010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8749B"/>
    <w:multiLevelType w:val="hybridMultilevel"/>
    <w:tmpl w:val="F09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97AE7"/>
    <w:multiLevelType w:val="multilevel"/>
    <w:tmpl w:val="D2F0C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5"/>
  </w:num>
  <w:num w:numId="4">
    <w:abstractNumId w:val="12"/>
  </w:num>
  <w:num w:numId="5">
    <w:abstractNumId w:val="22"/>
  </w:num>
  <w:num w:numId="6">
    <w:abstractNumId w:val="34"/>
  </w:num>
  <w:num w:numId="7">
    <w:abstractNumId w:val="6"/>
  </w:num>
  <w:num w:numId="8">
    <w:abstractNumId w:val="29"/>
  </w:num>
  <w:num w:numId="9">
    <w:abstractNumId w:val="0"/>
  </w:num>
  <w:num w:numId="10">
    <w:abstractNumId w:val="20"/>
  </w:num>
  <w:num w:numId="11">
    <w:abstractNumId w:val="17"/>
  </w:num>
  <w:num w:numId="12">
    <w:abstractNumId w:val="7"/>
  </w:num>
  <w:num w:numId="13">
    <w:abstractNumId w:val="3"/>
  </w:num>
  <w:num w:numId="14">
    <w:abstractNumId w:val="19"/>
  </w:num>
  <w:num w:numId="15">
    <w:abstractNumId w:val="28"/>
  </w:num>
  <w:num w:numId="16">
    <w:abstractNumId w:val="8"/>
  </w:num>
  <w:num w:numId="17">
    <w:abstractNumId w:val="2"/>
  </w:num>
  <w:num w:numId="18">
    <w:abstractNumId w:val="35"/>
  </w:num>
  <w:num w:numId="19">
    <w:abstractNumId w:val="31"/>
  </w:num>
  <w:num w:numId="20">
    <w:abstractNumId w:val="33"/>
  </w:num>
  <w:num w:numId="21">
    <w:abstractNumId w:val="5"/>
  </w:num>
  <w:num w:numId="22">
    <w:abstractNumId w:val="23"/>
  </w:num>
  <w:num w:numId="23">
    <w:abstractNumId w:val="26"/>
  </w:num>
  <w:num w:numId="24">
    <w:abstractNumId w:val="14"/>
  </w:num>
  <w:num w:numId="25">
    <w:abstractNumId w:val="11"/>
  </w:num>
  <w:num w:numId="26">
    <w:abstractNumId w:val="9"/>
  </w:num>
  <w:num w:numId="27">
    <w:abstractNumId w:val="27"/>
  </w:num>
  <w:num w:numId="28">
    <w:abstractNumId w:val="21"/>
  </w:num>
  <w:num w:numId="29">
    <w:abstractNumId w:val="32"/>
  </w:num>
  <w:num w:numId="30">
    <w:abstractNumId w:val="18"/>
  </w:num>
  <w:num w:numId="31">
    <w:abstractNumId w:val="13"/>
  </w:num>
  <w:num w:numId="32">
    <w:abstractNumId w:val="16"/>
  </w:num>
  <w:num w:numId="33">
    <w:abstractNumId w:val="24"/>
  </w:num>
  <w:num w:numId="34">
    <w:abstractNumId w:val="1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D5"/>
    <w:rsid w:val="000108F8"/>
    <w:rsid w:val="0001115A"/>
    <w:rsid w:val="00044EDF"/>
    <w:rsid w:val="0008283D"/>
    <w:rsid w:val="00096570"/>
    <w:rsid w:val="0009703A"/>
    <w:rsid w:val="000A18EF"/>
    <w:rsid w:val="000B28FE"/>
    <w:rsid w:val="000D1208"/>
    <w:rsid w:val="000D5B4B"/>
    <w:rsid w:val="000E7F67"/>
    <w:rsid w:val="00104202"/>
    <w:rsid w:val="001170EB"/>
    <w:rsid w:val="00125C92"/>
    <w:rsid w:val="00127D2D"/>
    <w:rsid w:val="00133F04"/>
    <w:rsid w:val="0013473C"/>
    <w:rsid w:val="00184765"/>
    <w:rsid w:val="001A4F16"/>
    <w:rsid w:val="001D410D"/>
    <w:rsid w:val="001F0D26"/>
    <w:rsid w:val="001F2F08"/>
    <w:rsid w:val="002332EE"/>
    <w:rsid w:val="00237202"/>
    <w:rsid w:val="00273D73"/>
    <w:rsid w:val="002836C5"/>
    <w:rsid w:val="00293491"/>
    <w:rsid w:val="002E2375"/>
    <w:rsid w:val="002E604C"/>
    <w:rsid w:val="002F6EB2"/>
    <w:rsid w:val="00300365"/>
    <w:rsid w:val="003158C3"/>
    <w:rsid w:val="003452DB"/>
    <w:rsid w:val="003C668D"/>
    <w:rsid w:val="003D4CB3"/>
    <w:rsid w:val="003D6F6F"/>
    <w:rsid w:val="00440D79"/>
    <w:rsid w:val="00453D95"/>
    <w:rsid w:val="00455154"/>
    <w:rsid w:val="00480C98"/>
    <w:rsid w:val="004979AF"/>
    <w:rsid w:val="004A4853"/>
    <w:rsid w:val="004B2D60"/>
    <w:rsid w:val="004B3C2B"/>
    <w:rsid w:val="004F176A"/>
    <w:rsid w:val="004F4B2D"/>
    <w:rsid w:val="00511D55"/>
    <w:rsid w:val="00513CC7"/>
    <w:rsid w:val="00536951"/>
    <w:rsid w:val="00542DD4"/>
    <w:rsid w:val="0054308D"/>
    <w:rsid w:val="00544BA7"/>
    <w:rsid w:val="0055024C"/>
    <w:rsid w:val="00553C2D"/>
    <w:rsid w:val="005654FD"/>
    <w:rsid w:val="00571512"/>
    <w:rsid w:val="00584E08"/>
    <w:rsid w:val="005E73D3"/>
    <w:rsid w:val="00600FB0"/>
    <w:rsid w:val="00616880"/>
    <w:rsid w:val="0063701C"/>
    <w:rsid w:val="0069555C"/>
    <w:rsid w:val="006D2BD6"/>
    <w:rsid w:val="00702F61"/>
    <w:rsid w:val="00706B3D"/>
    <w:rsid w:val="00712E05"/>
    <w:rsid w:val="007211E6"/>
    <w:rsid w:val="00730598"/>
    <w:rsid w:val="00742D54"/>
    <w:rsid w:val="00763B65"/>
    <w:rsid w:val="00791AAE"/>
    <w:rsid w:val="007A61A0"/>
    <w:rsid w:val="007B42BC"/>
    <w:rsid w:val="007D459D"/>
    <w:rsid w:val="00802B26"/>
    <w:rsid w:val="00884CED"/>
    <w:rsid w:val="008D1E38"/>
    <w:rsid w:val="008D4D60"/>
    <w:rsid w:val="00907EE1"/>
    <w:rsid w:val="00954403"/>
    <w:rsid w:val="009635BC"/>
    <w:rsid w:val="00985B45"/>
    <w:rsid w:val="00997559"/>
    <w:rsid w:val="009B15DC"/>
    <w:rsid w:val="009B5D5C"/>
    <w:rsid w:val="009E6808"/>
    <w:rsid w:val="00A14F34"/>
    <w:rsid w:val="00A21AFE"/>
    <w:rsid w:val="00A3377F"/>
    <w:rsid w:val="00A57602"/>
    <w:rsid w:val="00A7032C"/>
    <w:rsid w:val="00A83A6E"/>
    <w:rsid w:val="00A96F33"/>
    <w:rsid w:val="00AB1028"/>
    <w:rsid w:val="00AB398E"/>
    <w:rsid w:val="00AC72D5"/>
    <w:rsid w:val="00AD1609"/>
    <w:rsid w:val="00AE0B6E"/>
    <w:rsid w:val="00AE2824"/>
    <w:rsid w:val="00AF4D36"/>
    <w:rsid w:val="00B00D74"/>
    <w:rsid w:val="00B505B3"/>
    <w:rsid w:val="00B60017"/>
    <w:rsid w:val="00B65CE8"/>
    <w:rsid w:val="00B716CA"/>
    <w:rsid w:val="00B8475F"/>
    <w:rsid w:val="00BC141E"/>
    <w:rsid w:val="00C2001E"/>
    <w:rsid w:val="00C430F2"/>
    <w:rsid w:val="00C64FFD"/>
    <w:rsid w:val="00C6612C"/>
    <w:rsid w:val="00C977D8"/>
    <w:rsid w:val="00CC0357"/>
    <w:rsid w:val="00CC49F2"/>
    <w:rsid w:val="00CD4EA6"/>
    <w:rsid w:val="00CE055F"/>
    <w:rsid w:val="00D2047B"/>
    <w:rsid w:val="00D32F0C"/>
    <w:rsid w:val="00D7108B"/>
    <w:rsid w:val="00DD658D"/>
    <w:rsid w:val="00DD7C58"/>
    <w:rsid w:val="00DF0957"/>
    <w:rsid w:val="00E16731"/>
    <w:rsid w:val="00EB7470"/>
    <w:rsid w:val="00F10511"/>
    <w:rsid w:val="00F24990"/>
    <w:rsid w:val="00F63384"/>
    <w:rsid w:val="00F76CBB"/>
    <w:rsid w:val="00FC48EA"/>
    <w:rsid w:val="00FC70F9"/>
    <w:rsid w:val="00FD5EA3"/>
    <w:rsid w:val="00FE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D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List Paragraph,Абзац списка11,Абзац списка основной,Bullet List,FooterText,numbered,список 1,ТАБЛИЦА: текст"/>
    <w:basedOn w:val="a"/>
    <w:link w:val="a5"/>
    <w:uiPriority w:val="34"/>
    <w:qFormat/>
    <w:rsid w:val="00B600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4CED"/>
    <w:rPr>
      <w:color w:val="0563C1" w:themeColor="hyperlink"/>
      <w:u w:val="single"/>
    </w:rPr>
  </w:style>
  <w:style w:type="paragraph" w:customStyle="1" w:styleId="ConsPlusNormal">
    <w:name w:val="ConsPlusNormal"/>
    <w:rsid w:val="0055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502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502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5DC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ПАРАГРАФ Знак,List Paragraph Знак,Абзац списка11 Знак,Абзац списка основной Знак,Bullet List Знак,FooterText Знак,numbered Знак,список 1 Знак,ТАБЛИЦА: текст Знак"/>
    <w:basedOn w:val="a0"/>
    <w:link w:val="a4"/>
    <w:uiPriority w:val="34"/>
    <w:rsid w:val="000D5B4B"/>
  </w:style>
  <w:style w:type="paragraph" w:styleId="ab">
    <w:name w:val="footnote text"/>
    <w:basedOn w:val="a"/>
    <w:link w:val="ac"/>
    <w:uiPriority w:val="99"/>
    <w:semiHidden/>
    <w:unhideWhenUsed/>
    <w:rsid w:val="00F76C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6CB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6C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List Paragraph,Абзац списка11,Абзац списка основной,Bullet List,FooterText,numbered,список 1,ТАБЛИЦА: текст"/>
    <w:basedOn w:val="a"/>
    <w:link w:val="a5"/>
    <w:uiPriority w:val="34"/>
    <w:qFormat/>
    <w:rsid w:val="00B600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4CED"/>
    <w:rPr>
      <w:color w:val="0563C1" w:themeColor="hyperlink"/>
      <w:u w:val="single"/>
    </w:rPr>
  </w:style>
  <w:style w:type="paragraph" w:customStyle="1" w:styleId="ConsPlusNormal">
    <w:name w:val="ConsPlusNormal"/>
    <w:rsid w:val="0055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502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502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5DC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ПАРАГРАФ Знак,List Paragraph Знак,Абзац списка11 Знак,Абзац списка основной Знак,Bullet List Знак,FooterText Знак,numbered Знак,список 1 Знак,ТАБЛИЦА: текст Знак"/>
    <w:basedOn w:val="a0"/>
    <w:link w:val="a4"/>
    <w:uiPriority w:val="34"/>
    <w:rsid w:val="000D5B4B"/>
  </w:style>
  <w:style w:type="paragraph" w:styleId="ab">
    <w:name w:val="footnote text"/>
    <w:basedOn w:val="a"/>
    <w:link w:val="ac"/>
    <w:uiPriority w:val="99"/>
    <w:semiHidden/>
    <w:unhideWhenUsed/>
    <w:rsid w:val="00F76C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6CB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6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37B2-51E1-4F22-BDB0-613F41C2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Галимов</cp:lastModifiedBy>
  <cp:revision>8</cp:revision>
  <cp:lastPrinted>2020-04-23T07:49:00Z</cp:lastPrinted>
  <dcterms:created xsi:type="dcterms:W3CDTF">2020-04-23T06:46:00Z</dcterms:created>
  <dcterms:modified xsi:type="dcterms:W3CDTF">2020-04-24T10:33:00Z</dcterms:modified>
</cp:coreProperties>
</file>